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Capital City Rowing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of Directors Meeting Agenda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February 9, 2023 | 6:30 p.m. | Prime Meridian Bank, Timberlane Road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Review &amp; Approval of Prior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Coach’s Report – Michael Moxom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afterAutospacing="0" w:line="480" w:lineRule="auto"/>
        <w:ind w:left="1440" w:hanging="360"/>
      </w:pPr>
      <w:r w:rsidDel="00000000" w:rsidR="00000000" w:rsidRPr="00000000">
        <w:rPr>
          <w:sz w:val="24"/>
          <w:szCs w:val="24"/>
          <w:rtl w:val="0"/>
        </w:rPr>
        <w:t xml:space="preserve">Upcoming Regattas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President’s Report – Rachael Lieblick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Land Practice facility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VP Administration Report – Chris York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Erg-a-thon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VP Operations Report – Huw O’Callaghan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Treasurer’s Report – Mary Stafford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Communications Committee – Holly Moody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